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7DA5" w14:textId="77777777" w:rsidR="003564DE" w:rsidRDefault="00237E18" w:rsidP="00237E18">
      <w:pPr>
        <w:spacing w:after="0" w:line="240" w:lineRule="auto"/>
        <w:rPr>
          <w:b/>
          <w:bCs/>
          <w:sz w:val="28"/>
          <w:szCs w:val="28"/>
        </w:rPr>
      </w:pPr>
      <w:r>
        <w:rPr>
          <w:b/>
          <w:bCs/>
          <w:noProof/>
          <w:sz w:val="28"/>
          <w:szCs w:val="28"/>
        </w:rPr>
        <w:drawing>
          <wp:anchor distT="0" distB="0" distL="114300" distR="114300" simplePos="0" relativeHeight="251659264" behindDoc="0" locked="0" layoutInCell="1" allowOverlap="1" wp14:anchorId="5B0FD9DA" wp14:editId="0A256AD2">
            <wp:simplePos x="0" y="0"/>
            <wp:positionH relativeFrom="column">
              <wp:posOffset>0</wp:posOffset>
            </wp:positionH>
            <wp:positionV relativeFrom="paragraph">
              <wp:posOffset>0</wp:posOffset>
            </wp:positionV>
            <wp:extent cx="1143000" cy="1524000"/>
            <wp:effectExtent l="0" t="0" r="0" b="0"/>
            <wp:wrapSquare wrapText="bothSides"/>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43000" cy="1524000"/>
                    </a:xfrm>
                    <a:prstGeom prst="rect">
                      <a:avLst/>
                    </a:prstGeom>
                  </pic:spPr>
                </pic:pic>
              </a:graphicData>
            </a:graphic>
          </wp:anchor>
        </w:drawing>
      </w:r>
      <w:r>
        <w:rPr>
          <w:b/>
          <w:bCs/>
          <w:sz w:val="28"/>
          <w:szCs w:val="28"/>
        </w:rPr>
        <w:t xml:space="preserve">     </w:t>
      </w:r>
    </w:p>
    <w:p w14:paraId="0C66CEC3" w14:textId="77777777" w:rsidR="003564DE" w:rsidRDefault="003564DE" w:rsidP="00237E18">
      <w:pPr>
        <w:spacing w:after="0" w:line="240" w:lineRule="auto"/>
        <w:rPr>
          <w:b/>
          <w:bCs/>
          <w:sz w:val="28"/>
          <w:szCs w:val="28"/>
        </w:rPr>
      </w:pPr>
    </w:p>
    <w:p w14:paraId="053265BC" w14:textId="77777777" w:rsidR="003564DE" w:rsidRDefault="003564DE" w:rsidP="00237E18">
      <w:pPr>
        <w:spacing w:after="0" w:line="240" w:lineRule="auto"/>
        <w:rPr>
          <w:b/>
          <w:bCs/>
          <w:sz w:val="28"/>
          <w:szCs w:val="28"/>
        </w:rPr>
      </w:pPr>
    </w:p>
    <w:p w14:paraId="5ED3EEC8" w14:textId="5F16B534" w:rsidR="00237E18" w:rsidRPr="003564DE" w:rsidRDefault="00237E18" w:rsidP="003564DE">
      <w:pPr>
        <w:spacing w:after="0" w:line="240" w:lineRule="auto"/>
        <w:jc w:val="right"/>
        <w:rPr>
          <w:rFonts w:ascii="OzHandicraft BT" w:hAnsi="OzHandicraft BT"/>
          <w:b/>
          <w:bCs/>
          <w:color w:val="886349"/>
          <w:sz w:val="56"/>
          <w:szCs w:val="56"/>
        </w:rPr>
      </w:pPr>
      <w:r w:rsidRPr="003564DE">
        <w:rPr>
          <w:rFonts w:ascii="OzHandicraft BT" w:hAnsi="OzHandicraft BT"/>
          <w:b/>
          <w:bCs/>
          <w:color w:val="886349"/>
          <w:sz w:val="56"/>
          <w:szCs w:val="56"/>
        </w:rPr>
        <w:t>City of Bastrop Permit Requirements</w:t>
      </w:r>
    </w:p>
    <w:p w14:paraId="5F1638A6" w14:textId="728830F0" w:rsidR="003564DE" w:rsidRDefault="003564DE" w:rsidP="00237E18">
      <w:pPr>
        <w:spacing w:after="0" w:line="240" w:lineRule="auto"/>
        <w:rPr>
          <w:b/>
          <w:bCs/>
          <w:sz w:val="28"/>
          <w:szCs w:val="28"/>
        </w:rPr>
      </w:pPr>
    </w:p>
    <w:p w14:paraId="6DCA51F5" w14:textId="05B71E11" w:rsidR="003564DE" w:rsidRDefault="003564DE" w:rsidP="00237E18">
      <w:pPr>
        <w:spacing w:after="0" w:line="240" w:lineRule="auto"/>
        <w:rPr>
          <w:b/>
          <w:bCs/>
          <w:sz w:val="28"/>
          <w:szCs w:val="28"/>
        </w:rPr>
      </w:pPr>
    </w:p>
    <w:p w14:paraId="3A8E11E6" w14:textId="775184E9" w:rsidR="003564DE" w:rsidRDefault="003564DE" w:rsidP="00237E18">
      <w:pPr>
        <w:spacing w:after="0" w:line="240" w:lineRule="auto"/>
        <w:rPr>
          <w:b/>
          <w:bCs/>
          <w:sz w:val="28"/>
          <w:szCs w:val="28"/>
        </w:rPr>
      </w:pPr>
    </w:p>
    <w:p w14:paraId="0D64CF1E" w14:textId="048FA318" w:rsidR="003564DE" w:rsidRDefault="003564DE" w:rsidP="00237E18">
      <w:pPr>
        <w:spacing w:after="0" w:line="240" w:lineRule="auto"/>
        <w:rPr>
          <w:b/>
          <w:bCs/>
          <w:sz w:val="28"/>
          <w:szCs w:val="28"/>
        </w:rPr>
      </w:pPr>
      <w:r w:rsidRPr="00632235">
        <w:rPr>
          <w:noProof/>
        </w:rPr>
        <w:drawing>
          <wp:anchor distT="0" distB="0" distL="114300" distR="114300" simplePos="0" relativeHeight="251660288" behindDoc="1" locked="0" layoutInCell="1" allowOverlap="1" wp14:anchorId="587FBFF9" wp14:editId="160632D6">
            <wp:simplePos x="0" y="0"/>
            <wp:positionH relativeFrom="page">
              <wp:posOffset>6416040</wp:posOffset>
            </wp:positionH>
            <wp:positionV relativeFrom="paragraph">
              <wp:posOffset>139065</wp:posOffset>
            </wp:positionV>
            <wp:extent cx="935355" cy="1204595"/>
            <wp:effectExtent l="0" t="0" r="0" b="0"/>
            <wp:wrapTight wrapText="bothSides">
              <wp:wrapPolygon edited="0">
                <wp:start x="0" y="0"/>
                <wp:lineTo x="0" y="21179"/>
                <wp:lineTo x="21116" y="21179"/>
                <wp:lineTo x="211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35355" cy="1204595"/>
                    </a:xfrm>
                    <a:prstGeom prst="rect">
                      <a:avLst/>
                    </a:prstGeom>
                  </pic:spPr>
                </pic:pic>
              </a:graphicData>
            </a:graphic>
            <wp14:sizeRelH relativeFrom="margin">
              <wp14:pctWidth>0</wp14:pctWidth>
            </wp14:sizeRelH>
            <wp14:sizeRelV relativeFrom="margin">
              <wp14:pctHeight>0</wp14:pctHeight>
            </wp14:sizeRelV>
          </wp:anchor>
        </w:drawing>
      </w:r>
      <w:r>
        <w:rPr>
          <w:b/>
          <w:bCs/>
          <w:noProof/>
          <w:sz w:val="24"/>
          <w:szCs w:val="24"/>
        </w:rPr>
        <mc:AlternateContent>
          <mc:Choice Requires="wps">
            <w:drawing>
              <wp:anchor distT="0" distB="0" distL="114300" distR="114300" simplePos="0" relativeHeight="251662336" behindDoc="0" locked="0" layoutInCell="1" allowOverlap="1" wp14:anchorId="01DA37B7" wp14:editId="2B98121E">
                <wp:simplePos x="0" y="0"/>
                <wp:positionH relativeFrom="margin">
                  <wp:posOffset>0</wp:posOffset>
                </wp:positionH>
                <wp:positionV relativeFrom="paragraph">
                  <wp:posOffset>0</wp:posOffset>
                </wp:positionV>
                <wp:extent cx="69723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972300" cy="0"/>
                        </a:xfrm>
                        <a:prstGeom prst="line">
                          <a:avLst/>
                        </a:prstGeom>
                        <a:ln w="9525">
                          <a:solidFill>
                            <a:srgbClr val="68A2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7303B"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" strokecolor="#68a2b9">
                <v:stroke joinstyle="miter"/>
                <w10:wrap anchorx="margin"/>
              </v:line>
            </w:pict>
          </mc:Fallback>
        </mc:AlternateContent>
      </w:r>
    </w:p>
    <w:p w14:paraId="5DB4BD15" w14:textId="0185C97E" w:rsidR="003564DE" w:rsidRDefault="003564DE" w:rsidP="00237E18">
      <w:pPr>
        <w:spacing w:after="0" w:line="240" w:lineRule="auto"/>
        <w:rPr>
          <w:b/>
          <w:bCs/>
          <w:sz w:val="28"/>
          <w:szCs w:val="28"/>
        </w:rPr>
      </w:pPr>
    </w:p>
    <w:p w14:paraId="58533192" w14:textId="77777777" w:rsidR="003564DE" w:rsidRPr="0059172A" w:rsidRDefault="003564DE" w:rsidP="00237E18">
      <w:pPr>
        <w:spacing w:after="0" w:line="240" w:lineRule="auto"/>
        <w:rPr>
          <w:b/>
          <w:bCs/>
          <w:sz w:val="28"/>
          <w:szCs w:val="28"/>
        </w:rPr>
      </w:pPr>
    </w:p>
    <w:p w14:paraId="567F4D8F" w14:textId="6404309C" w:rsidR="00237E18" w:rsidRPr="003564DE" w:rsidRDefault="00237E18" w:rsidP="003564DE">
      <w:pPr>
        <w:spacing w:after="0" w:line="240" w:lineRule="auto"/>
        <w:jc w:val="right"/>
        <w:rPr>
          <w:rFonts w:ascii="Brandon Grotesque Bold" w:hAnsi="Brandon Grotesque Bold"/>
          <w:b/>
          <w:bCs/>
          <w:sz w:val="32"/>
          <w:szCs w:val="32"/>
        </w:rPr>
      </w:pPr>
      <w:r>
        <w:rPr>
          <w:b/>
          <w:bCs/>
          <w:noProof/>
        </w:rPr>
        <w:t xml:space="preserve"> </w:t>
      </w:r>
      <w:r w:rsidRPr="003564DE">
        <w:rPr>
          <w:rFonts w:ascii="Brandon Grotesque Bold" w:hAnsi="Brandon Grotesque Bold"/>
          <w:b/>
          <w:bCs/>
          <w:color w:val="546122"/>
          <w:sz w:val="32"/>
          <w:szCs w:val="32"/>
        </w:rPr>
        <w:t>International Mechanical Code (IMC)</w:t>
      </w:r>
    </w:p>
    <w:p w14:paraId="6CCF576A" w14:textId="00DC9D12" w:rsidR="00237E18" w:rsidRDefault="003564DE" w:rsidP="00237E18">
      <w:pPr>
        <w:spacing w:after="0" w:line="240" w:lineRule="auto"/>
        <w:rPr>
          <w:b/>
          <w:bCs/>
          <w:noProof/>
        </w:rPr>
      </w:pPr>
      <w:r>
        <w:rPr>
          <w:b/>
          <w:bCs/>
          <w:noProof/>
        </w:rPr>
        <w:drawing>
          <wp:anchor distT="0" distB="0" distL="114300" distR="114300" simplePos="0" relativeHeight="251663360" behindDoc="1" locked="0" layoutInCell="1" allowOverlap="1" wp14:anchorId="3B703332" wp14:editId="2A825D42">
            <wp:simplePos x="0" y="0"/>
            <wp:positionH relativeFrom="margin">
              <wp:align>left</wp:align>
            </wp:positionH>
            <wp:positionV relativeFrom="paragraph">
              <wp:posOffset>31115</wp:posOffset>
            </wp:positionV>
            <wp:extent cx="1005840" cy="1301974"/>
            <wp:effectExtent l="0" t="0" r="3810" b="0"/>
            <wp:wrapTight wrapText="bothSides">
              <wp:wrapPolygon edited="0">
                <wp:start x="0" y="0"/>
                <wp:lineTo x="0" y="21179"/>
                <wp:lineTo x="21273" y="21179"/>
                <wp:lineTo x="2127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840" cy="1301974"/>
                    </a:xfrm>
                    <a:prstGeom prst="rect">
                      <a:avLst/>
                    </a:prstGeom>
                    <a:noFill/>
                    <a:ln>
                      <a:noFill/>
                    </a:ln>
                  </pic:spPr>
                </pic:pic>
              </a:graphicData>
            </a:graphic>
          </wp:anchor>
        </w:drawing>
      </w:r>
    </w:p>
    <w:p w14:paraId="0A006BDA" w14:textId="1A607105" w:rsidR="003564DE" w:rsidRDefault="00237E18" w:rsidP="00237E18">
      <w:pPr>
        <w:spacing w:after="0" w:line="240" w:lineRule="auto"/>
        <w:rPr>
          <w:b/>
          <w:bCs/>
          <w:sz w:val="24"/>
          <w:szCs w:val="24"/>
        </w:rPr>
      </w:pPr>
      <w:r>
        <w:rPr>
          <w:b/>
          <w:bCs/>
          <w:sz w:val="24"/>
          <w:szCs w:val="24"/>
        </w:rPr>
        <w:t xml:space="preserve"> </w:t>
      </w:r>
    </w:p>
    <w:p w14:paraId="35926507" w14:textId="77777777" w:rsidR="003564DE" w:rsidRDefault="003564DE" w:rsidP="00237E18">
      <w:pPr>
        <w:spacing w:after="0" w:line="240" w:lineRule="auto"/>
        <w:rPr>
          <w:b/>
          <w:bCs/>
          <w:sz w:val="24"/>
          <w:szCs w:val="24"/>
        </w:rPr>
      </w:pPr>
    </w:p>
    <w:p w14:paraId="69596FFF" w14:textId="4D364218" w:rsidR="00237E18" w:rsidRPr="003564DE" w:rsidRDefault="00237E18" w:rsidP="00237E18">
      <w:pPr>
        <w:spacing w:after="0" w:line="240" w:lineRule="auto"/>
        <w:rPr>
          <w:rFonts w:ascii="Brandon Grotesque Bold" w:hAnsi="Brandon Grotesque Bold"/>
          <w:b/>
          <w:bCs/>
          <w:color w:val="546122"/>
          <w:sz w:val="32"/>
          <w:szCs w:val="32"/>
        </w:rPr>
      </w:pPr>
      <w:r w:rsidRPr="003564DE">
        <w:rPr>
          <w:rFonts w:ascii="Brandon Grotesque Bold" w:hAnsi="Brandon Grotesque Bold"/>
          <w:b/>
          <w:bCs/>
          <w:color w:val="546122"/>
          <w:sz w:val="32"/>
          <w:szCs w:val="32"/>
        </w:rPr>
        <w:t>International Fuel Gas Code (IFGC)</w:t>
      </w:r>
    </w:p>
    <w:p w14:paraId="272A7875" w14:textId="77777777" w:rsidR="00237E18" w:rsidRDefault="00237E18" w:rsidP="00237E18">
      <w:pPr>
        <w:spacing w:after="0" w:line="240" w:lineRule="auto"/>
        <w:rPr>
          <w:b/>
          <w:bCs/>
          <w:sz w:val="24"/>
          <w:szCs w:val="24"/>
        </w:rPr>
      </w:pPr>
      <w:r>
        <w:rPr>
          <w:b/>
          <w:bCs/>
          <w:noProof/>
        </w:rPr>
        <w:t xml:space="preserve">                                      </w:t>
      </w:r>
    </w:p>
    <w:p w14:paraId="33FF69D8" w14:textId="77777777" w:rsidR="003564DE" w:rsidRDefault="003564DE" w:rsidP="00237E18">
      <w:pPr>
        <w:spacing w:after="0" w:line="240" w:lineRule="auto"/>
        <w:rPr>
          <w:b/>
          <w:bCs/>
          <w:sz w:val="24"/>
          <w:szCs w:val="24"/>
        </w:rPr>
      </w:pPr>
    </w:p>
    <w:p w14:paraId="696379B6" w14:textId="77777777" w:rsidR="003564DE" w:rsidRDefault="003564DE" w:rsidP="00237E18">
      <w:pPr>
        <w:spacing w:after="0" w:line="240" w:lineRule="auto"/>
        <w:rPr>
          <w:b/>
          <w:bCs/>
          <w:sz w:val="24"/>
          <w:szCs w:val="24"/>
        </w:rPr>
      </w:pPr>
    </w:p>
    <w:p w14:paraId="235BECC8" w14:textId="7B5681C2" w:rsidR="00237E18" w:rsidRPr="0034523A" w:rsidRDefault="00237E18" w:rsidP="00237E18">
      <w:pPr>
        <w:spacing w:after="0" w:line="240" w:lineRule="auto"/>
        <w:rPr>
          <w:b/>
          <w:bCs/>
          <w:sz w:val="24"/>
          <w:szCs w:val="24"/>
        </w:rPr>
      </w:pPr>
      <w:r>
        <w:rPr>
          <w:b/>
          <w:bCs/>
          <w:sz w:val="24"/>
          <w:szCs w:val="24"/>
        </w:rPr>
        <w:tab/>
      </w:r>
      <w:r>
        <w:rPr>
          <w:b/>
          <w:bCs/>
          <w:sz w:val="24"/>
          <w:szCs w:val="24"/>
        </w:rPr>
        <w:tab/>
        <w:t xml:space="preserve">  </w:t>
      </w:r>
      <w:r>
        <w:rPr>
          <w:b/>
          <w:bCs/>
          <w:sz w:val="24"/>
          <w:szCs w:val="24"/>
        </w:rPr>
        <w:tab/>
      </w:r>
      <w:r>
        <w:rPr>
          <w:b/>
          <w:bCs/>
          <w:sz w:val="24"/>
          <w:szCs w:val="24"/>
        </w:rPr>
        <w:tab/>
      </w:r>
      <w:r>
        <w:rPr>
          <w:b/>
          <w:bCs/>
          <w:sz w:val="24"/>
          <w:szCs w:val="24"/>
        </w:rPr>
        <w:tab/>
      </w:r>
      <w:r>
        <w:rPr>
          <w:b/>
          <w:bCs/>
          <w:sz w:val="24"/>
          <w:szCs w:val="24"/>
        </w:rPr>
        <w:tab/>
        <w:t xml:space="preserve">           </w:t>
      </w:r>
    </w:p>
    <w:p w14:paraId="18978B0D" w14:textId="77777777" w:rsidR="00237E18" w:rsidRPr="003564DE" w:rsidRDefault="00237E18" w:rsidP="00237E18">
      <w:pPr>
        <w:spacing w:after="0" w:line="240" w:lineRule="auto"/>
        <w:rPr>
          <w:rFonts w:ascii="Brandon Grotesque Bold" w:hAnsi="Brandon Grotesque Bold"/>
          <w:sz w:val="28"/>
          <w:szCs w:val="28"/>
        </w:rPr>
      </w:pPr>
      <w:r w:rsidRPr="003564DE">
        <w:rPr>
          <w:rFonts w:ascii="Brandon Grotesque Bold" w:hAnsi="Brandon Grotesque Bold"/>
          <w:sz w:val="28"/>
          <w:szCs w:val="28"/>
        </w:rPr>
        <w:t>106.1 Where required.</w:t>
      </w:r>
    </w:p>
    <w:p w14:paraId="08BE35C3" w14:textId="77777777" w:rsidR="00237E18" w:rsidRPr="003564DE" w:rsidRDefault="00237E18" w:rsidP="003564DE">
      <w:pPr>
        <w:spacing w:after="0" w:line="240" w:lineRule="auto"/>
        <w:ind w:left="720"/>
        <w:rPr>
          <w:rFonts w:ascii="Arial" w:hAnsi="Arial" w:cs="Arial"/>
        </w:rPr>
      </w:pPr>
      <w:r w:rsidRPr="003564DE">
        <w:rPr>
          <w:rFonts w:ascii="Arial" w:hAnsi="Arial" w:cs="Arial"/>
        </w:rPr>
        <w:t xml:space="preserve">An owner, owner’s authorized agent or contractor who desires to erect, install, enlarge, alter, repair, remove, </w:t>
      </w:r>
      <w:proofErr w:type="gramStart"/>
      <w:r w:rsidRPr="003564DE">
        <w:rPr>
          <w:rFonts w:ascii="Arial" w:hAnsi="Arial" w:cs="Arial"/>
        </w:rPr>
        <w:t>convert</w:t>
      </w:r>
      <w:proofErr w:type="gramEnd"/>
      <w:r w:rsidRPr="003564DE">
        <w:rPr>
          <w:rFonts w:ascii="Arial" w:hAnsi="Arial" w:cs="Arial"/>
        </w:rPr>
        <w:t xml:space="preserve"> or replace a mechanical system, the installation of which is regulated by this code, or to cause such work to be performed, shall first make application to the code official and obtain the required permit for the work. (IFGC)</w:t>
      </w:r>
    </w:p>
    <w:p w14:paraId="04212A9F" w14:textId="77777777" w:rsidR="00237E18" w:rsidRPr="003564DE" w:rsidRDefault="00237E18" w:rsidP="003564DE">
      <w:pPr>
        <w:spacing w:after="0" w:line="240" w:lineRule="auto"/>
        <w:ind w:left="720"/>
        <w:rPr>
          <w:rFonts w:ascii="Arial" w:hAnsi="Arial" w:cs="Arial"/>
        </w:rPr>
      </w:pPr>
    </w:p>
    <w:p w14:paraId="076CD2C2" w14:textId="77777777" w:rsidR="00237E18" w:rsidRPr="003564DE" w:rsidRDefault="00237E18" w:rsidP="003564DE">
      <w:pPr>
        <w:spacing w:after="0" w:line="240" w:lineRule="auto"/>
        <w:ind w:left="720"/>
        <w:rPr>
          <w:rFonts w:ascii="Arial" w:hAnsi="Arial" w:cs="Arial"/>
        </w:rPr>
      </w:pPr>
      <w:r w:rsidRPr="003564DE">
        <w:rPr>
          <w:rFonts w:ascii="Arial" w:hAnsi="Arial" w:cs="Arial"/>
        </w:rPr>
        <w:t xml:space="preserve">Exception: Where appliance and equipment replacements and repairs are required to be performed in </w:t>
      </w:r>
      <w:proofErr w:type="gramStart"/>
      <w:r w:rsidRPr="003564DE">
        <w:rPr>
          <w:rFonts w:ascii="Arial" w:hAnsi="Arial" w:cs="Arial"/>
        </w:rPr>
        <w:t>an emergency situation</w:t>
      </w:r>
      <w:proofErr w:type="gramEnd"/>
      <w:r w:rsidRPr="003564DE">
        <w:rPr>
          <w:rFonts w:ascii="Arial" w:hAnsi="Arial" w:cs="Arial"/>
        </w:rPr>
        <w:t>, the permit application shall be submitted within the next working business day of the Department of Inspection. (IFGC)</w:t>
      </w:r>
    </w:p>
    <w:p w14:paraId="74DE0A68" w14:textId="77777777" w:rsidR="00237E18" w:rsidRDefault="00237E18" w:rsidP="00237E18">
      <w:pPr>
        <w:spacing w:after="0" w:line="240" w:lineRule="auto"/>
      </w:pPr>
    </w:p>
    <w:p w14:paraId="54A79B8B" w14:textId="1F1923A5" w:rsidR="00237E18" w:rsidRPr="003564DE" w:rsidRDefault="00237E18" w:rsidP="00237E18">
      <w:pPr>
        <w:spacing w:after="0" w:line="240" w:lineRule="auto"/>
        <w:rPr>
          <w:rFonts w:ascii="Brandon Grotesque Bold" w:hAnsi="Brandon Grotesque Bold"/>
          <w:sz w:val="28"/>
          <w:szCs w:val="28"/>
        </w:rPr>
      </w:pPr>
      <w:r w:rsidRPr="003564DE">
        <w:rPr>
          <w:rFonts w:ascii="Brandon Grotesque Bold" w:hAnsi="Brandon Grotesque Bold"/>
          <w:sz w:val="28"/>
          <w:szCs w:val="28"/>
        </w:rPr>
        <w:t>106.2 Permits not required.</w:t>
      </w:r>
    </w:p>
    <w:p w14:paraId="3D06FC5D" w14:textId="77777777" w:rsidR="00237E18" w:rsidRPr="003564DE" w:rsidRDefault="00237E18" w:rsidP="003564DE">
      <w:pPr>
        <w:spacing w:after="0" w:line="240" w:lineRule="auto"/>
        <w:ind w:left="720"/>
        <w:rPr>
          <w:rFonts w:ascii="Arial" w:hAnsi="Arial" w:cs="Arial"/>
        </w:rPr>
      </w:pPr>
      <w:r w:rsidRPr="003564DE">
        <w:rPr>
          <w:rFonts w:ascii="Arial" w:hAnsi="Arial" w:cs="Arial"/>
        </w:rPr>
        <w:t>Permits shall not be required for the following:</w:t>
      </w:r>
    </w:p>
    <w:p w14:paraId="500C3F98" w14:textId="519E0D56" w:rsidR="00237E18" w:rsidRPr="008E2EB3" w:rsidRDefault="00237E18" w:rsidP="008E2EB3">
      <w:pPr>
        <w:pStyle w:val="ListParagraph"/>
        <w:numPr>
          <w:ilvl w:val="0"/>
          <w:numId w:val="2"/>
        </w:numPr>
        <w:spacing w:after="0" w:line="240" w:lineRule="auto"/>
        <w:rPr>
          <w:rFonts w:ascii="Arial" w:hAnsi="Arial" w:cs="Arial"/>
        </w:rPr>
      </w:pPr>
      <w:r w:rsidRPr="008E2EB3">
        <w:rPr>
          <w:rFonts w:ascii="Arial" w:hAnsi="Arial" w:cs="Arial"/>
        </w:rPr>
        <w:t>Portable heating appliances. (IFGC, IBC, IRC)</w:t>
      </w:r>
    </w:p>
    <w:p w14:paraId="00F092D3" w14:textId="719E7643" w:rsidR="00237E18" w:rsidRPr="008E2EB3" w:rsidRDefault="00237E18" w:rsidP="008E2EB3">
      <w:pPr>
        <w:pStyle w:val="ListParagraph"/>
        <w:numPr>
          <w:ilvl w:val="1"/>
          <w:numId w:val="1"/>
        </w:numPr>
        <w:spacing w:after="0" w:line="240" w:lineRule="auto"/>
        <w:rPr>
          <w:rFonts w:ascii="Arial" w:hAnsi="Arial" w:cs="Arial"/>
        </w:rPr>
      </w:pPr>
      <w:r w:rsidRPr="008E2EB3">
        <w:rPr>
          <w:rFonts w:ascii="Arial" w:hAnsi="Arial" w:cs="Arial"/>
        </w:rPr>
        <w:t>(IRC – adds cooking and clothes drying appliances)</w:t>
      </w:r>
    </w:p>
    <w:p w14:paraId="283D4BA5" w14:textId="072F983D" w:rsidR="00237E18" w:rsidRPr="008E2EB3" w:rsidRDefault="00237E18" w:rsidP="008E2EB3">
      <w:pPr>
        <w:pStyle w:val="ListParagraph"/>
        <w:numPr>
          <w:ilvl w:val="0"/>
          <w:numId w:val="1"/>
        </w:numPr>
        <w:spacing w:after="0" w:line="240" w:lineRule="auto"/>
        <w:rPr>
          <w:rFonts w:ascii="Arial" w:hAnsi="Arial" w:cs="Arial"/>
        </w:rPr>
      </w:pPr>
      <w:r w:rsidRPr="008E2EB3">
        <w:rPr>
          <w:rFonts w:ascii="Arial" w:hAnsi="Arial" w:cs="Arial"/>
        </w:rPr>
        <w:t>Portable ventilation appliances and equipment. (IBC, IRC)</w:t>
      </w:r>
    </w:p>
    <w:p w14:paraId="528BCC1D" w14:textId="170A9A04" w:rsidR="00237E18" w:rsidRPr="008E2EB3" w:rsidRDefault="00237E18" w:rsidP="008E2EB3">
      <w:pPr>
        <w:pStyle w:val="ListParagraph"/>
        <w:numPr>
          <w:ilvl w:val="0"/>
          <w:numId w:val="1"/>
        </w:numPr>
        <w:spacing w:after="0" w:line="240" w:lineRule="auto"/>
        <w:rPr>
          <w:rFonts w:ascii="Arial" w:hAnsi="Arial" w:cs="Arial"/>
        </w:rPr>
      </w:pPr>
      <w:r w:rsidRPr="008E2EB3">
        <w:rPr>
          <w:rFonts w:ascii="Arial" w:hAnsi="Arial" w:cs="Arial"/>
        </w:rPr>
        <w:t>Portable cooling units. (IBC, IRC)</w:t>
      </w:r>
    </w:p>
    <w:p w14:paraId="58224B57" w14:textId="6138C1E5" w:rsidR="00237E18" w:rsidRPr="008E2EB3" w:rsidRDefault="00237E18" w:rsidP="008E2EB3">
      <w:pPr>
        <w:pStyle w:val="ListParagraph"/>
        <w:numPr>
          <w:ilvl w:val="0"/>
          <w:numId w:val="1"/>
        </w:numPr>
        <w:spacing w:after="0" w:line="240" w:lineRule="auto"/>
        <w:rPr>
          <w:rFonts w:ascii="Arial" w:hAnsi="Arial" w:cs="Arial"/>
        </w:rPr>
      </w:pPr>
      <w:r w:rsidRPr="008E2EB3">
        <w:rPr>
          <w:rFonts w:ascii="Arial" w:hAnsi="Arial" w:cs="Arial"/>
        </w:rPr>
        <w:t xml:space="preserve">Steam, hot </w:t>
      </w:r>
      <w:proofErr w:type="gramStart"/>
      <w:r w:rsidRPr="008E2EB3">
        <w:rPr>
          <w:rFonts w:ascii="Arial" w:hAnsi="Arial" w:cs="Arial"/>
        </w:rPr>
        <w:t>water</w:t>
      </w:r>
      <w:proofErr w:type="gramEnd"/>
      <w:r w:rsidRPr="008E2EB3">
        <w:rPr>
          <w:rFonts w:ascii="Arial" w:hAnsi="Arial" w:cs="Arial"/>
        </w:rPr>
        <w:t xml:space="preserve"> or chilled water piping within any heating or cooling equipment or appliances regulated by this code. (IBC, IRC)</w:t>
      </w:r>
    </w:p>
    <w:p w14:paraId="36B11FD3" w14:textId="760834F1" w:rsidR="00237E18" w:rsidRPr="008E2EB3" w:rsidRDefault="00237E18" w:rsidP="008E2EB3">
      <w:pPr>
        <w:pStyle w:val="ListParagraph"/>
        <w:numPr>
          <w:ilvl w:val="0"/>
          <w:numId w:val="1"/>
        </w:numPr>
        <w:spacing w:after="0" w:line="240" w:lineRule="auto"/>
        <w:rPr>
          <w:rFonts w:ascii="Arial" w:hAnsi="Arial" w:cs="Arial"/>
        </w:rPr>
      </w:pPr>
      <w:r w:rsidRPr="008E2EB3">
        <w:rPr>
          <w:rFonts w:ascii="Arial" w:hAnsi="Arial" w:cs="Arial"/>
        </w:rPr>
        <w:t>The replacement of any minor part that does not alter the approval of equipment or an appliance or make such equipment or appliance unsafe. (IFGC, IBC, IRC)</w:t>
      </w:r>
    </w:p>
    <w:p w14:paraId="441EA59D" w14:textId="6CE32D78" w:rsidR="00237E18" w:rsidRPr="008E2EB3" w:rsidRDefault="00237E18" w:rsidP="008E2EB3">
      <w:pPr>
        <w:pStyle w:val="ListParagraph"/>
        <w:numPr>
          <w:ilvl w:val="0"/>
          <w:numId w:val="1"/>
        </w:numPr>
        <w:spacing w:after="0" w:line="240" w:lineRule="auto"/>
        <w:rPr>
          <w:rFonts w:ascii="Arial" w:hAnsi="Arial" w:cs="Arial"/>
        </w:rPr>
      </w:pPr>
      <w:r w:rsidRPr="008E2EB3">
        <w:rPr>
          <w:rFonts w:ascii="Arial" w:hAnsi="Arial" w:cs="Arial"/>
        </w:rPr>
        <w:t>Portable evaporative coolers. (IBC, IRC)</w:t>
      </w:r>
    </w:p>
    <w:p w14:paraId="66C44835" w14:textId="2F98C129" w:rsidR="00237E18" w:rsidRPr="008E2EB3" w:rsidRDefault="00237E18" w:rsidP="008E2EB3">
      <w:pPr>
        <w:pStyle w:val="ListParagraph"/>
        <w:numPr>
          <w:ilvl w:val="0"/>
          <w:numId w:val="1"/>
        </w:numPr>
        <w:spacing w:after="0" w:line="240" w:lineRule="auto"/>
        <w:rPr>
          <w:rFonts w:ascii="Arial" w:hAnsi="Arial" w:cs="Arial"/>
        </w:rPr>
      </w:pPr>
      <w:r w:rsidRPr="008E2EB3">
        <w:rPr>
          <w:rFonts w:ascii="Arial" w:hAnsi="Arial" w:cs="Arial"/>
        </w:rPr>
        <w:t>Self-contained refrigeration systems that contain 10 pounds (4.5 kg) or less of refrigerant, or that are actuated by motors of 1 horsepower (0.75 kW) or less. (IBC, IRC)</w:t>
      </w:r>
    </w:p>
    <w:p w14:paraId="7494E035" w14:textId="4B5AD803" w:rsidR="009E74EB" w:rsidRPr="008E2EB3" w:rsidRDefault="00237E18" w:rsidP="008E2EB3">
      <w:pPr>
        <w:pStyle w:val="ListParagraph"/>
        <w:numPr>
          <w:ilvl w:val="0"/>
          <w:numId w:val="1"/>
        </w:numPr>
        <w:spacing w:after="0" w:line="240" w:lineRule="auto"/>
        <w:rPr>
          <w:rFonts w:ascii="Arial" w:hAnsi="Arial" w:cs="Arial"/>
        </w:rPr>
      </w:pPr>
      <w:r w:rsidRPr="008E2EB3">
        <w:rPr>
          <w:rFonts w:ascii="Arial" w:hAnsi="Arial" w:cs="Arial"/>
        </w:rPr>
        <w:t>Portable fuel cell appliances that are not connected to a fixed piping system and are not interconnected to a power grid. (IRC)</w:t>
      </w:r>
    </w:p>
    <w:sectPr w:rsidR="009E74EB" w:rsidRPr="008E2EB3" w:rsidSect="003564D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21DA" w14:textId="77777777" w:rsidR="003564DE" w:rsidRDefault="003564DE" w:rsidP="003564DE">
      <w:pPr>
        <w:spacing w:after="0" w:line="240" w:lineRule="auto"/>
      </w:pPr>
      <w:r>
        <w:separator/>
      </w:r>
    </w:p>
  </w:endnote>
  <w:endnote w:type="continuationSeparator" w:id="0">
    <w:p w14:paraId="6FB6D1D9" w14:textId="77777777" w:rsidR="003564DE" w:rsidRDefault="003564DE" w:rsidP="00356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zHandicraft BT">
    <w:panose1 w:val="03080702020302020206"/>
    <w:charset w:val="00"/>
    <w:family w:val="script"/>
    <w:pitch w:val="variable"/>
    <w:sig w:usb0="00000087" w:usb1="00000000" w:usb2="00000000" w:usb3="00000000" w:csb0="0000001B" w:csb1="00000000"/>
  </w:font>
  <w:font w:name="Brandon Grotesque Bold">
    <w:panose1 w:val="020B0803020203060202"/>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657219"/>
      <w:docPartObj>
        <w:docPartGallery w:val="Page Numbers (Bottom of Page)"/>
        <w:docPartUnique/>
      </w:docPartObj>
    </w:sdtPr>
    <w:sdtEndPr>
      <w:rPr>
        <w:noProof/>
      </w:rPr>
    </w:sdtEndPr>
    <w:sdtContent>
      <w:p w14:paraId="77AA0F9F" w14:textId="1F835A3E" w:rsidR="003564DE" w:rsidRDefault="003564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706C5E" w14:textId="77777777" w:rsidR="003564DE" w:rsidRDefault="00356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FF1E8" w14:textId="77777777" w:rsidR="003564DE" w:rsidRDefault="003564DE" w:rsidP="003564DE">
      <w:pPr>
        <w:spacing w:after="0" w:line="240" w:lineRule="auto"/>
      </w:pPr>
      <w:r>
        <w:separator/>
      </w:r>
    </w:p>
  </w:footnote>
  <w:footnote w:type="continuationSeparator" w:id="0">
    <w:p w14:paraId="5BBE9880" w14:textId="77777777" w:rsidR="003564DE" w:rsidRDefault="003564DE" w:rsidP="00356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23D7E"/>
    <w:multiLevelType w:val="hybridMultilevel"/>
    <w:tmpl w:val="2E90D832"/>
    <w:lvl w:ilvl="0" w:tplc="FC82A8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344476F"/>
    <w:multiLevelType w:val="hybridMultilevel"/>
    <w:tmpl w:val="552E339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18"/>
    <w:rsid w:val="00020CD3"/>
    <w:rsid w:val="00237E18"/>
    <w:rsid w:val="003564DE"/>
    <w:rsid w:val="008E2EB3"/>
    <w:rsid w:val="009E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15FF"/>
  <w15:chartTrackingRefBased/>
  <w15:docId w15:val="{DA0BB24E-BCF8-444A-B234-8A9E754E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4DE"/>
  </w:style>
  <w:style w:type="paragraph" w:styleId="Footer">
    <w:name w:val="footer"/>
    <w:basedOn w:val="Normal"/>
    <w:link w:val="FooterChar"/>
    <w:uiPriority w:val="99"/>
    <w:unhideWhenUsed/>
    <w:rsid w:val="00356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4DE"/>
  </w:style>
  <w:style w:type="paragraph" w:styleId="ListParagraph">
    <w:name w:val="List Paragraph"/>
    <w:basedOn w:val="Normal"/>
    <w:uiPriority w:val="34"/>
    <w:qFormat/>
    <w:rsid w:val="008E2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Ellis</dc:creator>
  <cp:keywords/>
  <dc:description/>
  <cp:lastModifiedBy>Jimmie Campbell</cp:lastModifiedBy>
  <cp:revision>4</cp:revision>
  <dcterms:created xsi:type="dcterms:W3CDTF">2021-08-11T05:27:00Z</dcterms:created>
  <dcterms:modified xsi:type="dcterms:W3CDTF">2022-03-30T16:34:00Z</dcterms:modified>
</cp:coreProperties>
</file>